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#PrideSkill: El orgullo es una habilidad. </w:t>
      </w:r>
    </w:p>
    <w:p w:rsidR="00000000" w:rsidDel="00000000" w:rsidP="00000000" w:rsidRDefault="00000000" w:rsidRPr="00000000" w14:paraId="00000002">
      <w:pPr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P&amp;G, LinkedIn, Walmart de México y Centroamérica y Sodexo se unen para impulsar la inserción laboral de la comunidad LGBTQ+</w:t>
      </w:r>
    </w:p>
    <w:p w:rsidR="00000000" w:rsidDel="00000000" w:rsidP="00000000" w:rsidRDefault="00000000" w:rsidRPr="00000000" w14:paraId="00000004">
      <w:pPr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Esta iniciativa busca visibilizar las oportunidades laborales para personas de la comunidad LGBTQ+, así como la conectar empresas inclusivas y profesionales LGBTQ+.</w:t>
      </w:r>
    </w:p>
    <w:p w:rsidR="00000000" w:rsidDel="00000000" w:rsidP="00000000" w:rsidRDefault="00000000" w:rsidRPr="00000000" w14:paraId="00000006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CIUDAD DE MÉXICO. 22 de junio 2023. – Nuestra identidad de género y orientación sexual nos acompañan a donde quiera que vayamos. Abrir espacios inclusivos para que todas las personas sean bienvenidas es nuestra responsabilidad. De acuerdo al INEGI, en México, 35.70% de las personas que se identifican como LGBTQ+ no cuentan con un empleo formal. 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Con base en ello y para generar una red de aliados y empresas inclusivas, nació la iniciativa #PrideSkill, promovida por P&amp;G, mediante la cual se invita a profesionales LGBTQ+ a agregar Pride como una habilidad en su perfil profesional en LinkedIn; a los aliados de la comunidad y a las empresas, se les exhorta a promover procesos de selección más inclusivos.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Tener un sentido de orgullo por quién eres es una herramienta muy poderosa ya que revela confianza, pertenencia y resiliencia. Es por eso que Pride Skills es una celebración de quién somos, lo que hemos vivido y el potencial que tenemos como comunidad LGBTQ+. 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Las empresas que promueven ambientes laborales diversos, inclusivos y de igualdad para personas LGBTQ+ han visto los beneficios que obtienen al atraer talento y obtener la fidelidad de sus colaboradores. Hoy en día, pese a los esfuerzos que han hecho algunas compañías como P&amp;G, el camino por recorrer aún es largo considerando que en México sólo 8% de las personas de la comunidad LGBTQ+ expresan abiertamente su orientación en el trabajo y 29.8% no la expresa nunca, por temor a ser reprimidos.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i w:val="1"/>
          <w:rtl w:val="0"/>
        </w:rPr>
        <w:t xml:space="preserve">"Desde hace varias décadas, P&amp;G cree en el poder de la diversidad y en el impacto que se logra cuando a una compañía la unen los valores y propósitos compartidos. La compañía está comprometida a trabajar para que esto sea una realidad y la iniciativa #PrideSkill es fundamental para lograrlo. Seguimos invitando a que más empresas se sumen este movimiento que significa dar pasos importantes para la equidad y la inclusión en el mercado laboral."</w:t>
      </w:r>
      <w:r w:rsidDel="00000000" w:rsidR="00000000" w:rsidRPr="00000000">
        <w:rPr>
          <w:rtl w:val="0"/>
        </w:rPr>
        <w:t xml:space="preserve"> Dijo Luis Abraham Hernandez, Director Senior de Cadena de Suministro y Líder del grupo de afinidad para la comunidad LGBTQ+ en P&amp;G México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 esta iniciativa recientemente se unieron empresas como LinkedIn, Walmart de México y Centroamérica y Sodexo, quienes impulsarán que coloquen sus colaboradores y reclutadores Pride como herramienta en su perfil profesional, con el objetivo de brindar representatividad a los miembros de la comunidad y conectar talento diverso con reclutadores para promover un entorno inclusivo.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i w:val="1"/>
          <w:rtl w:val="0"/>
        </w:rPr>
        <w:t xml:space="preserve">“El orgullo de pertenecer a una empresa empieza con el orgullo de ser tú. En Sodexo continuamos con nuestro compromiso de Diversidad, Equidad e Inclusión, para crear espacios laborales libres de violencia, discriminación y acoso, por ello buscamos incentivar la inclusión de la comunidad LGBTQ+ y aprovechar el potencial que tienen al máximo.”</w:t>
      </w:r>
      <w:r w:rsidDel="00000000" w:rsidR="00000000" w:rsidRPr="00000000">
        <w:rPr>
          <w:rtl w:val="0"/>
        </w:rPr>
        <w:t xml:space="preserve"> Juan Pablo Castillo, HR Director, Corporate Services Sodexo Latam.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#PrideSkill nació a través del pilar de representatividad de P&amp;G, GABLE (Gay, Ally, Bisexual, Lesbian &amp; Transgender Employees) creado para promover un entorno inclusivo para reclutar y conectar con las personas de la comunidad. 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i w:val="1"/>
          <w:rtl w:val="0"/>
        </w:rPr>
        <w:t xml:space="preserve">“Para Walmart de México y Centroamérica, nuestro compromiso está enfocado en que nuestros asociados se sientan identificados con los valores de la compañía y reconocidos por su potencial, sabiendo que están en un lugar donde pueden ser, crecer y pertenecer. De aquí, que nuestra misión sea crear un espacio en donde todas las personas puedan ser 100% ellas. Unirnos a #PrideSkill no solo nos coloca como una compañía que reconoce el valor de nuestros asociados, sino que nos impulsa a seguir aprendiendo y abonando a la creación de un mundo más inclusivo”,</w:t>
      </w:r>
      <w:r w:rsidDel="00000000" w:rsidR="00000000" w:rsidRPr="00000000">
        <w:rPr>
          <w:rtl w:val="0"/>
        </w:rPr>
        <w:t xml:space="preserve"> señaló Bob López, Subdirector de Cultura y Diversidad e Inclusión, para Walmart de México y Centroamérica. 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Las personas que componen el pilar de GABLE, en P&amp;G, reconocen que trabajar para una empresa que incentive estos espacios y promueva una cultura de inclusión, son determinantes para escoger un lugar de trabajo.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i w:val="1"/>
          <w:rtl w:val="0"/>
        </w:rPr>
        <w:t xml:space="preserve">“En un mundo digital como el que habitamos, LinkedIn se ha posicionado como la principal fuente de exposición de talento a nivel global. Nuestra misión es conectar a los profesionales del mundo para que tengan más éxito y esta conexión se da a través, principalmente, de las habilidades, los skills que los usuarios agregan a sus perfiles y que las compañías buscan a través de una serie de soluciones corporativas. A nosotros nos da mucho gusto una iniciativa cómo Pride Skills porque ella incentiva la creación y utilización de palabras clave y skills en LinkedIn, alimentando nuestra gráfica económica y facilitando esa conexión entre profesionales y empresas enfocadas en talentos diversos”</w:t>
      </w:r>
      <w:r w:rsidDel="00000000" w:rsidR="00000000" w:rsidRPr="00000000">
        <w:rPr>
          <w:rtl w:val="0"/>
        </w:rPr>
        <w:t xml:space="preserve">, añade Edson Guto Balestri de LinkedIn.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Con esta iniciativa y la suma de empresas como las antes mencionadas, P&amp;G busca motivar a otras empresas a participar en este movimiento y fomentar la representatividad en el mercado laboral y generar un impacto positivo en la sociedad. 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Para obtener más información, visite https://www.pgcareers.com/latinamericaprideskill y conozca más sobre el movimiento de P&amp;G usando #PrideSkill.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rtl w:val="0"/>
        </w:rPr>
        <w:t xml:space="preserve">Acerca de Procter &amp; Gamble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P&amp;G sirve a consumidores alrededor del mundo con unos de los portafolios de marcas líderes más fuertes y de mayor confianza incluyendo Ace®, Always®, Ariel®, Dolo-Neurobión®, Downy®, Gillette®, Head &amp; Shoulders®, Herbal Essences®, Naturella®, Old-Spice®, Oral-B®, Pantene®, Pepto-Bismol®, Salvo®, Secret®, Sedalmerk® y Vick®, entre otras. La comunidad P&amp;G incluye operaciones en aproximadamente 70 países alrededor del mundo. Por favor visita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www.pg.com</w:t>
        </w:r>
      </w:hyperlink>
      <w:r w:rsidDel="00000000" w:rsidR="00000000" w:rsidRPr="00000000">
        <w:rPr>
          <w:rtl w:val="0"/>
        </w:rPr>
        <w:t xml:space="preserve"> para las últimas novedades e información sobre P&amp;G y sus marcas. Para otras noticias, visítanos en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https://www.pg.com/news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b w:val="1"/>
          <w:rtl w:val="0"/>
        </w:rPr>
        <w:t xml:space="preserve">Contacto de prensa: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Elena Aranda                       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elena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.aranda@another.co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55 7903 43233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Tanya Belmont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tanya.belmont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@another.co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55 6211 9370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185738</wp:posOffset>
              </wp:positionV>
              <wp:extent cx="7781925" cy="282575"/>
              <wp:effectExtent b="0" l="0" r="0" t="0"/>
              <wp:wrapNone/>
              <wp:docPr descr="{&quot;HashCode&quot;:1452656554,&quot;Height&quot;:792.0,&quot;Width&quot;:612.0,&quot;Placement&quot;:&quot;Header&quot;,&quot;Index&quot;:&quot;Primary&quot;,&quot;Section&quot;:1,&quot;Top&quot;:0.0,&quot;Left&quot;:0.0}"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Business Use</w:t>
                          </w:r>
                        </w:p>
                      </w:txbxContent>
                    </wps:txbx>
                    <wps:bodyPr anchorCtr="0" anchor="t" bIns="0" lIns="91425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185738</wp:posOffset>
              </wp:positionV>
              <wp:extent cx="7781925" cy="282575"/>
              <wp:effectExtent b="0" l="0" r="0" t="0"/>
              <wp:wrapNone/>
              <wp:docPr descr="{&quot;HashCode&quot;:1452656554,&quot;Height&quot;:792.0,&quot;Width&quot;:612.0,&quot;Placement&quot;:&quot;Header&quot;,&quot;Index&quot;:&quot;Primary&quot;,&quot;Section&quot;:1,&quot;Top&quot;:0.0,&quot;Left&quot;:0.0}" id="6" name="image2.png"/>
              <a:graphic>
                <a:graphicData uri="http://schemas.openxmlformats.org/drawingml/2006/picture">
                  <pic:pic>
                    <pic:nvPicPr>
                      <pic:cNvPr descr="{&quot;HashCode&quot;:1452656554,&quot;Height&quot;:792.0,&quot;Width&quot;:612.0,&quot;Placement&quot;:&quot;Head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inline distB="0" distT="0" distL="114300" distR="114300">
          <wp:extent cx="781050" cy="695325"/>
          <wp:effectExtent b="0" l="0" r="0" t="0"/>
          <wp:docPr descr="Logo de P&amp;G: la historia y el significado de logotipo, la marca y el  simbolo. | png, vector" id="7" name="image1.png"/>
          <a:graphic>
            <a:graphicData uri="http://schemas.openxmlformats.org/drawingml/2006/picture">
              <pic:pic>
                <pic:nvPicPr>
                  <pic:cNvPr descr="Logo de P&amp;G: la historia y el significado de logotipo, la marca y el  simbolo. | png, vector" id="0" name="image1.png"/>
                  <pic:cNvPicPr preferRelativeResize="0"/>
                </pic:nvPicPr>
                <pic:blipFill>
                  <a:blip r:embed="rId2"/>
                  <a:srcRect b="0" l="18604" r="17787" t="0"/>
                  <a:stretch>
                    <a:fillRect/>
                  </a:stretch>
                </pic:blipFill>
                <pic:spPr>
                  <a:xfrm>
                    <a:off x="0" y="0"/>
                    <a:ext cx="781050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0E7B4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7B49"/>
  </w:style>
  <w:style w:type="paragraph" w:styleId="Footer">
    <w:name w:val="footer"/>
    <w:basedOn w:val="Normal"/>
    <w:link w:val="FooterChar"/>
    <w:uiPriority w:val="99"/>
    <w:unhideWhenUsed w:val="1"/>
    <w:rsid w:val="000E7B4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7B49"/>
  </w:style>
  <w:style w:type="character" w:styleId="Hyperlink">
    <w:name w:val="Hyperlink"/>
    <w:basedOn w:val="DefaultParagraphFont"/>
    <w:uiPriority w:val="99"/>
    <w:unhideWhenUsed w:val="1"/>
    <w:rPr>
      <w:color w:val="0000ff" w:themeColor="hyperlink"/>
      <w:u w:val="single"/>
    </w:rPr>
  </w:style>
  <w:style w:type="paragraph" w:styleId="Revision">
    <w:name w:val="Revision"/>
    <w:hidden w:val="1"/>
    <w:uiPriority w:val="99"/>
    <w:semiHidden w:val="1"/>
    <w:rsid w:val="00DA0CFD"/>
    <w:pPr>
      <w:spacing w:line="240" w:lineRule="auto"/>
    </w:pPr>
  </w:style>
  <w:style w:type="character" w:styleId="ui-provider" w:customStyle="1">
    <w:name w:val="ui-provider"/>
    <w:basedOn w:val="DefaultParagraphFont"/>
    <w:rsid w:val="00023A0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gabriela.monroy@another.co" TargetMode="External"/><Relationship Id="rId9" Type="http://schemas.openxmlformats.org/officeDocument/2006/relationships/hyperlink" Target="mailto:andrea.gonzalez@another.c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g.com/" TargetMode="External"/><Relationship Id="rId8" Type="http://schemas.openxmlformats.org/officeDocument/2006/relationships/hyperlink" Target="https://www.pg.com/new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4w23EsUDG+S20gIMrXyAwz+neg==">CgMxLjA4AHIhMXlrMFJuOUg5dUtnZU54RS1PVVp0OUpFeUJ2OXdYOWZT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2023-06-22T03:03:00Z</dcterms:created>
  <dc:creator>RAYEK, DAVID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0x01010057261CAE522E9B41A544D31B4D64B4D1</vt:lpwstr>
  </property>
  <property fmtid="{D5CDD505-2E9C-101B-9397-08002B2CF9AE}" pid="3" name="MediaServiceImageTags">
    <vt:lpwstr/>
  </property>
  <property fmtid="{D5CDD505-2E9C-101B-9397-08002B2CF9AE}" pid="4" name="MSIP_Label_b24820e8-223f-4ed2-bd95-81c83f641284_Enabled">
    <vt:lpwstr>true</vt:lpwstr>
  </property>
  <property fmtid="{D5CDD505-2E9C-101B-9397-08002B2CF9AE}" pid="5" name="MSIP_Label_b24820e8-223f-4ed2-bd95-81c83f641284_SetDate">
    <vt:lpwstr>2023-06-21T15:04:40Z</vt:lpwstr>
  </property>
  <property fmtid="{D5CDD505-2E9C-101B-9397-08002B2CF9AE}" pid="6" name="MSIP_Label_b24820e8-223f-4ed2-bd95-81c83f641284_Method">
    <vt:lpwstr>Standard</vt:lpwstr>
  </property>
  <property fmtid="{D5CDD505-2E9C-101B-9397-08002B2CF9AE}" pid="7" name="MSIP_Label_b24820e8-223f-4ed2-bd95-81c83f641284_Name">
    <vt:lpwstr>b24820e8-223f-4ed2-bd95-81c83f641284</vt:lpwstr>
  </property>
  <property fmtid="{D5CDD505-2E9C-101B-9397-08002B2CF9AE}" pid="8" name="MSIP_Label_b24820e8-223f-4ed2-bd95-81c83f641284_SiteId">
    <vt:lpwstr>3cbcc3d3-094d-4006-9849-0d11d61f484d</vt:lpwstr>
  </property>
  <property fmtid="{D5CDD505-2E9C-101B-9397-08002B2CF9AE}" pid="9" name="MSIP_Label_b24820e8-223f-4ed2-bd95-81c83f641284_ActionId">
    <vt:lpwstr>086b6739-9599-44d7-9cae-f6e7b918af9e</vt:lpwstr>
  </property>
  <property fmtid="{D5CDD505-2E9C-101B-9397-08002B2CF9AE}" pid="10" name="MSIP_Label_b24820e8-223f-4ed2-bd95-81c83f641284_ContentBits">
    <vt:lpwstr>0</vt:lpwstr>
  </property>
  <property fmtid="{D5CDD505-2E9C-101B-9397-08002B2CF9AE}" pid="11" name="MSIP_Label_a518e53f-798e-43aa-978d-c3fda1f3a682_Enabled">
    <vt:lpwstr>true</vt:lpwstr>
  </property>
  <property fmtid="{D5CDD505-2E9C-101B-9397-08002B2CF9AE}" pid="12" name="MSIP_Label_a518e53f-798e-43aa-978d-c3fda1f3a682_SetDate">
    <vt:lpwstr>2023-06-22T03:05:28Z</vt:lpwstr>
  </property>
  <property fmtid="{D5CDD505-2E9C-101B-9397-08002B2CF9AE}" pid="13" name="MSIP_Label_a518e53f-798e-43aa-978d-c3fda1f3a682_Method">
    <vt:lpwstr>Privileged</vt:lpwstr>
  </property>
  <property fmtid="{D5CDD505-2E9C-101B-9397-08002B2CF9AE}" pid="14" name="MSIP_Label_a518e53f-798e-43aa-978d-c3fda1f3a682_Name">
    <vt:lpwstr>PG - Internal Use</vt:lpwstr>
  </property>
  <property fmtid="{D5CDD505-2E9C-101B-9397-08002B2CF9AE}" pid="15" name="MSIP_Label_a518e53f-798e-43aa-978d-c3fda1f3a682_SiteId">
    <vt:lpwstr>3596192b-fdf5-4e2c-a6fa-acb706c963d8</vt:lpwstr>
  </property>
  <property fmtid="{D5CDD505-2E9C-101B-9397-08002B2CF9AE}" pid="16" name="MSIP_Label_a518e53f-798e-43aa-978d-c3fda1f3a682_ActionId">
    <vt:lpwstr>20a5469a-25af-4077-b03d-c41d3c8404c1</vt:lpwstr>
  </property>
  <property fmtid="{D5CDD505-2E9C-101B-9397-08002B2CF9AE}" pid="17" name="MSIP_Label_a518e53f-798e-43aa-978d-c3fda1f3a682_ContentBits">
    <vt:lpwstr>1</vt:lpwstr>
  </property>
</Properties>
</file>